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C6" w:rsidRDefault="00506DC6" w:rsidP="000346DE">
      <w:pPr>
        <w:spacing w:after="0"/>
        <w:jc w:val="both"/>
        <w:rPr>
          <w:rFonts w:ascii="Arial" w:hAnsi="Arial" w:cs="Arial"/>
          <w:b/>
        </w:rPr>
      </w:pPr>
    </w:p>
    <w:p w:rsidR="00BB0C1E" w:rsidRDefault="00887D24" w:rsidP="000346DE">
      <w:pPr>
        <w:spacing w:after="0"/>
        <w:jc w:val="both"/>
        <w:rPr>
          <w:rFonts w:ascii="Arial" w:hAnsi="Arial" w:cs="Arial"/>
          <w:b/>
        </w:rPr>
      </w:pPr>
      <w:r w:rsidRPr="00BB0C1E">
        <w:rPr>
          <w:rFonts w:ascii="Arial" w:hAnsi="Arial" w:cs="Arial"/>
          <w:b/>
        </w:rPr>
        <w:t xml:space="preserve">Rappel des </w:t>
      </w:r>
      <w:r w:rsidR="00BB0C1E" w:rsidRPr="00BB0C1E">
        <w:rPr>
          <w:rFonts w:ascii="Arial" w:hAnsi="Arial" w:cs="Arial"/>
          <w:b/>
        </w:rPr>
        <w:t>critères</w:t>
      </w:r>
      <w:r w:rsidR="000F65FE">
        <w:rPr>
          <w:rFonts w:ascii="Arial" w:hAnsi="Arial" w:cs="Arial"/>
          <w:b/>
        </w:rPr>
        <w:t xml:space="preserve"> </w:t>
      </w:r>
      <w:r w:rsidR="00BB0C1E" w:rsidRPr="00BB0C1E">
        <w:rPr>
          <w:rFonts w:ascii="Arial" w:hAnsi="Arial" w:cs="Arial"/>
          <w:b/>
        </w:rPr>
        <w:t>de labellisation</w:t>
      </w:r>
      <w:r w:rsidRPr="00BB0C1E">
        <w:rPr>
          <w:rFonts w:ascii="Arial" w:hAnsi="Arial" w:cs="Arial"/>
          <w:b/>
        </w:rPr>
        <w:t> :</w:t>
      </w:r>
    </w:p>
    <w:p w:rsidR="00751085" w:rsidRPr="00B37DC6" w:rsidRDefault="00B37DC6" w:rsidP="000346DE">
      <w:pPr>
        <w:spacing w:before="120" w:after="120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Trois </w:t>
      </w:r>
      <w:r w:rsidR="00751085" w:rsidRPr="00B37DC6">
        <w:rPr>
          <w:rFonts w:ascii="Arial" w:hAnsi="Arial" w:cs="Arial"/>
          <w:b/>
        </w:rPr>
        <w:t xml:space="preserve">conditions cumulatives </w:t>
      </w:r>
      <w:r w:rsidR="00BB0C1E" w:rsidRPr="00B37DC6">
        <w:rPr>
          <w:rFonts w:ascii="Arial" w:hAnsi="Arial" w:cs="Arial"/>
          <w:b/>
        </w:rPr>
        <w:t>sont nécessaire</w:t>
      </w:r>
      <w:r w:rsidR="00140C64" w:rsidRPr="00B37DC6">
        <w:rPr>
          <w:rFonts w:ascii="Arial" w:hAnsi="Arial" w:cs="Arial"/>
          <w:b/>
        </w:rPr>
        <w:t>s</w:t>
      </w:r>
      <w:r w:rsidR="00BB0C1E" w:rsidRPr="00B37DC6">
        <w:rPr>
          <w:rFonts w:ascii="Arial" w:hAnsi="Arial" w:cs="Arial"/>
          <w:b/>
        </w:rPr>
        <w:t xml:space="preserve"> </w:t>
      </w:r>
      <w:r w:rsidR="00751085" w:rsidRPr="00B37DC6">
        <w:rPr>
          <w:rFonts w:ascii="Arial" w:hAnsi="Arial" w:cs="Arial"/>
          <w:b/>
        </w:rPr>
        <w:t xml:space="preserve">pour être labellisé : </w:t>
      </w:r>
    </w:p>
    <w:p w:rsidR="00BB0C1E" w:rsidRPr="007501F1" w:rsidRDefault="007501F1" w:rsidP="002F0095">
      <w:pPr>
        <w:spacing w:before="120"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 xml:space="preserve"> </w:t>
      </w:r>
      <w:r w:rsidR="00BB0C1E" w:rsidRPr="007501F1">
        <w:rPr>
          <w:rFonts w:ascii="Arial" w:hAnsi="Arial" w:cs="Arial"/>
        </w:rPr>
        <w:t xml:space="preserve">Organiser un accueil de loisirs périscolaire déclarés </w:t>
      </w:r>
      <w:r w:rsidR="00A05622">
        <w:rPr>
          <w:rFonts w:ascii="Arial" w:hAnsi="Arial" w:cs="Arial"/>
        </w:rPr>
        <w:t>au SDJES</w:t>
      </w:r>
      <w:r w:rsidR="000F65FE">
        <w:rPr>
          <w:rFonts w:ascii="Arial" w:hAnsi="Arial" w:cs="Arial"/>
        </w:rPr>
        <w:t> ;</w:t>
      </w:r>
    </w:p>
    <w:p w:rsidR="00140C64" w:rsidRPr="007501F1" w:rsidRDefault="007501F1" w:rsidP="002F0095">
      <w:pPr>
        <w:spacing w:before="120" w:after="8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 xml:space="preserve"> </w:t>
      </w:r>
      <w:r w:rsidR="00751085" w:rsidRPr="007501F1">
        <w:rPr>
          <w:rFonts w:ascii="Arial" w:hAnsi="Arial" w:cs="Arial"/>
        </w:rPr>
        <w:t>Conclure un projet éducatif territorial (Pedt) intégrant le mercredi, élaboré dans un cadre partenarial élargi (incluant notamment les acteurs</w:t>
      </w:r>
      <w:r w:rsidR="00140C64" w:rsidRPr="007501F1">
        <w:rPr>
          <w:rFonts w:ascii="Arial" w:hAnsi="Arial" w:cs="Arial"/>
        </w:rPr>
        <w:t xml:space="preserve"> du monde culturel ou sportif)</w:t>
      </w:r>
      <w:r w:rsidR="000F65FE">
        <w:rPr>
          <w:rFonts w:ascii="Arial" w:hAnsi="Arial" w:cs="Arial"/>
        </w:rPr>
        <w:t> ;</w:t>
      </w:r>
    </w:p>
    <w:p w:rsidR="00751085" w:rsidRPr="007501F1" w:rsidRDefault="007501F1" w:rsidP="002F0095">
      <w:pPr>
        <w:spacing w:before="120"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 xml:space="preserve"> </w:t>
      </w:r>
      <w:r w:rsidR="00751085" w:rsidRPr="007501F1">
        <w:rPr>
          <w:rFonts w:ascii="Arial" w:hAnsi="Arial" w:cs="Arial"/>
        </w:rPr>
        <w:t>S’engager à respecter la c</w:t>
      </w:r>
      <w:r w:rsidR="0010589D" w:rsidRPr="007501F1">
        <w:rPr>
          <w:rFonts w:ascii="Arial" w:hAnsi="Arial" w:cs="Arial"/>
        </w:rPr>
        <w:t>harte qualité du Plan mercredi</w:t>
      </w:r>
      <w:r w:rsidR="000F65FE">
        <w:rPr>
          <w:rFonts w:ascii="Arial" w:hAnsi="Arial" w:cs="Arial"/>
        </w:rPr>
        <w:t>.</w:t>
      </w:r>
    </w:p>
    <w:p w:rsidR="00804B77" w:rsidRDefault="00804B77" w:rsidP="00974CE4">
      <w:pPr>
        <w:spacing w:after="0"/>
        <w:jc w:val="both"/>
        <w:rPr>
          <w:rFonts w:ascii="Arial" w:hAnsi="Arial" w:cs="Arial"/>
          <w:b/>
        </w:rPr>
      </w:pPr>
    </w:p>
    <w:p w:rsidR="00506DC6" w:rsidRDefault="00506DC6" w:rsidP="00974CE4">
      <w:pPr>
        <w:spacing w:after="0"/>
        <w:jc w:val="both"/>
        <w:rPr>
          <w:rFonts w:ascii="Arial" w:hAnsi="Arial" w:cs="Arial"/>
          <w:b/>
        </w:rPr>
      </w:pPr>
    </w:p>
    <w:p w:rsidR="00506DC6" w:rsidRDefault="00506DC6" w:rsidP="00974CE4">
      <w:pPr>
        <w:spacing w:after="0"/>
        <w:jc w:val="both"/>
        <w:rPr>
          <w:rFonts w:ascii="Arial" w:hAnsi="Arial" w:cs="Arial"/>
          <w:b/>
        </w:rPr>
      </w:pPr>
    </w:p>
    <w:p w:rsidR="00804B77" w:rsidRDefault="00804B77" w:rsidP="00804B7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Démarche</w:t>
      </w:r>
      <w:r w:rsidR="000F65F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à faire : </w:t>
      </w:r>
    </w:p>
    <w:p w:rsidR="00804B77" w:rsidRPr="007501F1" w:rsidRDefault="00804B77" w:rsidP="002F0095">
      <w:pPr>
        <w:spacing w:before="120" w:after="120"/>
        <w:ind w:firstLine="708"/>
        <w:jc w:val="both"/>
        <w:rPr>
          <w:rFonts w:ascii="Arial" w:hAnsi="Arial" w:cs="Arial"/>
        </w:rPr>
      </w:pPr>
      <w:r w:rsidRPr="007501F1">
        <w:rPr>
          <w:rFonts w:ascii="Arial" w:hAnsi="Arial" w:cs="Arial"/>
        </w:rPr>
        <w:sym w:font="Wingdings" w:char="F0F0"/>
      </w:r>
      <w:r w:rsidRPr="007501F1">
        <w:rPr>
          <w:rFonts w:ascii="Arial" w:hAnsi="Arial" w:cs="Arial"/>
        </w:rPr>
        <w:t xml:space="preserve"> Se rapproche</w:t>
      </w:r>
      <w:r w:rsidR="000F65FE">
        <w:rPr>
          <w:rFonts w:ascii="Arial" w:hAnsi="Arial" w:cs="Arial"/>
        </w:rPr>
        <w:t>r</w:t>
      </w:r>
      <w:r w:rsidRPr="007501F1">
        <w:rPr>
          <w:rFonts w:ascii="Arial" w:hAnsi="Arial" w:cs="Arial"/>
        </w:rPr>
        <w:t xml:space="preserve"> des services de la </w:t>
      </w:r>
      <w:r w:rsidR="000346DE">
        <w:rPr>
          <w:rFonts w:ascii="Arial" w:hAnsi="Arial" w:cs="Arial"/>
        </w:rPr>
        <w:t>JES</w:t>
      </w:r>
      <w:r w:rsidRPr="007501F1">
        <w:rPr>
          <w:rFonts w:ascii="Arial" w:hAnsi="Arial" w:cs="Arial"/>
        </w:rPr>
        <w:t>, de la CAF et de la DSDEN pour les informer</w:t>
      </w:r>
      <w:r w:rsidR="000F65FE">
        <w:rPr>
          <w:rFonts w:ascii="Arial" w:hAnsi="Arial" w:cs="Arial"/>
        </w:rPr>
        <w:t xml:space="preserve"> et envisager un accompagnement ;</w:t>
      </w:r>
    </w:p>
    <w:p w:rsidR="00804B77" w:rsidRPr="007501F1" w:rsidRDefault="000F65FE" w:rsidP="000F65F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cas où</w:t>
      </w:r>
      <w:r w:rsidR="00804B77" w:rsidRPr="007501F1">
        <w:rPr>
          <w:rFonts w:ascii="Arial" w:hAnsi="Arial" w:cs="Arial"/>
        </w:rPr>
        <w:t xml:space="preserve"> les accueils de loisirs du mercredi sont de la compétence de l’EPCI et le PEdT est communal ou intercommunal (RPI, SIVOS…), un accompagnement spécifique pourra </w:t>
      </w:r>
      <w:r>
        <w:rPr>
          <w:rFonts w:ascii="Arial" w:hAnsi="Arial" w:cs="Arial"/>
        </w:rPr>
        <w:t>ê</w:t>
      </w:r>
      <w:r w:rsidR="00804B77" w:rsidRPr="007501F1">
        <w:rPr>
          <w:rFonts w:ascii="Arial" w:hAnsi="Arial" w:cs="Arial"/>
        </w:rPr>
        <w:t>tre fait pour étudier les différentes possibilités</w:t>
      </w:r>
      <w:r>
        <w:rPr>
          <w:rFonts w:ascii="Arial" w:hAnsi="Arial" w:cs="Arial"/>
        </w:rPr>
        <w:t> ;</w:t>
      </w:r>
    </w:p>
    <w:p w:rsidR="000F65FE" w:rsidRDefault="000F65FE" w:rsidP="000F65FE">
      <w:pPr>
        <w:spacing w:after="0"/>
        <w:ind w:left="708"/>
        <w:jc w:val="both"/>
        <w:rPr>
          <w:rFonts w:ascii="Arial" w:hAnsi="Arial" w:cs="Arial"/>
        </w:rPr>
      </w:pPr>
    </w:p>
    <w:p w:rsidR="00804B77" w:rsidRPr="000346DE" w:rsidRDefault="00804B77" w:rsidP="000346DE">
      <w:pPr>
        <w:spacing w:after="120"/>
        <w:ind w:left="708"/>
        <w:jc w:val="both"/>
        <w:rPr>
          <w:rFonts w:ascii="Arial" w:hAnsi="Arial" w:cs="Arial"/>
        </w:rPr>
      </w:pPr>
      <w:r w:rsidRPr="007501F1">
        <w:rPr>
          <w:rFonts w:ascii="Arial" w:hAnsi="Arial" w:cs="Arial"/>
        </w:rPr>
        <w:sym w:font="Wingdings" w:char="F0F0"/>
      </w:r>
      <w:r w:rsidRPr="007501F1">
        <w:rPr>
          <w:rFonts w:ascii="Arial" w:hAnsi="Arial" w:cs="Arial"/>
        </w:rPr>
        <w:t xml:space="preserve"> Déposer une demande en transmettant </w:t>
      </w:r>
      <w:r w:rsidR="000346DE">
        <w:rPr>
          <w:rFonts w:ascii="Arial" w:hAnsi="Arial" w:cs="Arial"/>
        </w:rPr>
        <w:t>au</w:t>
      </w:r>
      <w:r w:rsidRPr="007501F1">
        <w:rPr>
          <w:rFonts w:ascii="Arial" w:hAnsi="Arial" w:cs="Arial"/>
        </w:rPr>
        <w:t xml:space="preserve"> </w:t>
      </w:r>
      <w:r w:rsidR="000346DE">
        <w:rPr>
          <w:rFonts w:ascii="Arial" w:hAnsi="Arial" w:cs="Arial"/>
        </w:rPr>
        <w:t>SDJES</w:t>
      </w:r>
      <w:r w:rsidRPr="007501F1">
        <w:rPr>
          <w:rFonts w:ascii="Arial" w:hAnsi="Arial" w:cs="Arial"/>
        </w:rPr>
        <w:t xml:space="preserve"> les différents document</w:t>
      </w:r>
      <w:r w:rsidR="00B37DC6">
        <w:rPr>
          <w:rFonts w:ascii="Arial" w:hAnsi="Arial" w:cs="Arial"/>
        </w:rPr>
        <w:t>s</w:t>
      </w:r>
      <w:r w:rsidRPr="007501F1">
        <w:rPr>
          <w:rFonts w:ascii="Arial" w:hAnsi="Arial" w:cs="Arial"/>
        </w:rPr>
        <w:t xml:space="preserve"> néce</w:t>
      </w:r>
      <w:r w:rsidR="00012E39">
        <w:rPr>
          <w:rFonts w:ascii="Arial" w:hAnsi="Arial" w:cs="Arial"/>
        </w:rPr>
        <w:t>s</w:t>
      </w:r>
      <w:r w:rsidRPr="007501F1">
        <w:rPr>
          <w:rFonts w:ascii="Arial" w:hAnsi="Arial" w:cs="Arial"/>
        </w:rPr>
        <w:t>saire</w:t>
      </w:r>
      <w:r w:rsidR="000F65FE">
        <w:rPr>
          <w:rFonts w:ascii="Arial" w:hAnsi="Arial" w:cs="Arial"/>
        </w:rPr>
        <w:t>s,</w:t>
      </w:r>
      <w:r w:rsidR="00012E39">
        <w:rPr>
          <w:rFonts w:ascii="Arial" w:hAnsi="Arial" w:cs="Arial"/>
        </w:rPr>
        <w:t xml:space="preserve"> </w:t>
      </w:r>
      <w:r w:rsidRPr="007501F1">
        <w:rPr>
          <w:rFonts w:ascii="Arial" w:hAnsi="Arial" w:cs="Arial"/>
        </w:rPr>
        <w:t>en vue d</w:t>
      </w:r>
      <w:r w:rsidR="00EE7335">
        <w:rPr>
          <w:rFonts w:ascii="Arial" w:hAnsi="Arial" w:cs="Arial"/>
        </w:rPr>
        <w:t>e</w:t>
      </w:r>
      <w:r w:rsidR="00B37DC6">
        <w:rPr>
          <w:rFonts w:ascii="Arial" w:hAnsi="Arial" w:cs="Arial"/>
        </w:rPr>
        <w:t xml:space="preserve"> la labellisation : voir tabl</w:t>
      </w:r>
      <w:r w:rsidRPr="007501F1">
        <w:rPr>
          <w:rFonts w:ascii="Arial" w:hAnsi="Arial" w:cs="Arial"/>
        </w:rPr>
        <w:t>eau de la page suivante selon la situation du territoire au regard du PEdT</w:t>
      </w:r>
      <w:r w:rsidR="00B37DC6">
        <w:rPr>
          <w:rFonts w:ascii="Arial" w:hAnsi="Arial" w:cs="Arial"/>
        </w:rPr>
        <w:t>.</w:t>
      </w:r>
    </w:p>
    <w:p w:rsidR="002F0095" w:rsidRDefault="002F0095" w:rsidP="00EE7335">
      <w:pPr>
        <w:spacing w:after="0"/>
        <w:jc w:val="both"/>
        <w:rPr>
          <w:rFonts w:ascii="Arial" w:hAnsi="Arial" w:cs="Arial"/>
          <w:b/>
        </w:rPr>
      </w:pPr>
      <w:r w:rsidRPr="002F0095">
        <w:rPr>
          <w:rFonts w:ascii="Arial" w:hAnsi="Arial" w:cs="Arial"/>
          <w:b/>
        </w:rPr>
        <w:t xml:space="preserve">Au plus tard le </w:t>
      </w:r>
      <w:r w:rsidR="00506DC6">
        <w:rPr>
          <w:rFonts w:ascii="Arial" w:hAnsi="Arial" w:cs="Arial"/>
          <w:b/>
        </w:rPr>
        <w:t>vendredi 31</w:t>
      </w:r>
      <w:r w:rsidR="007B1F0E">
        <w:rPr>
          <w:rFonts w:ascii="Arial" w:hAnsi="Arial" w:cs="Arial"/>
          <w:b/>
        </w:rPr>
        <w:t xml:space="preserve"> mai</w:t>
      </w:r>
      <w:r w:rsidRPr="00281889">
        <w:rPr>
          <w:rFonts w:ascii="Arial" w:hAnsi="Arial" w:cs="Arial"/>
          <w:b/>
        </w:rPr>
        <w:t xml:space="preserve"> 202</w:t>
      </w:r>
      <w:r w:rsidR="00506DC6">
        <w:rPr>
          <w:rFonts w:ascii="Arial" w:hAnsi="Arial" w:cs="Arial"/>
          <w:b/>
        </w:rPr>
        <w:t>4</w:t>
      </w:r>
      <w:r w:rsidR="00727781" w:rsidRPr="00281889">
        <w:rPr>
          <w:rFonts w:ascii="Arial" w:hAnsi="Arial" w:cs="Arial"/>
          <w:b/>
        </w:rPr>
        <w:t xml:space="preserve"> </w:t>
      </w:r>
      <w:r w:rsidRPr="002F0095">
        <w:rPr>
          <w:rFonts w:ascii="Arial" w:hAnsi="Arial" w:cs="Arial"/>
          <w:b/>
        </w:rPr>
        <w:t>délai de rigueur, pour les communes dont le PEdT est nouveau ou en renouvellement</w:t>
      </w:r>
      <w:r w:rsidR="00EE7335">
        <w:rPr>
          <w:rFonts w:ascii="Arial" w:hAnsi="Arial" w:cs="Arial"/>
          <w:b/>
        </w:rPr>
        <w:t xml:space="preserve"> et</w:t>
      </w:r>
      <w:r w:rsidRPr="002F0095">
        <w:rPr>
          <w:rFonts w:ascii="Arial" w:hAnsi="Arial" w:cs="Arial"/>
          <w:b/>
        </w:rPr>
        <w:t xml:space="preserve"> pour les communes ayant un PEdT en cours de validité</w:t>
      </w:r>
    </w:p>
    <w:p w:rsidR="00835C1E" w:rsidRDefault="00835C1E" w:rsidP="00835C1E">
      <w:pPr>
        <w:spacing w:after="0"/>
        <w:ind w:firstLine="1418"/>
        <w:jc w:val="center"/>
        <w:rPr>
          <w:rFonts w:ascii="Arial" w:hAnsi="Arial" w:cs="Arial"/>
          <w:b/>
        </w:rPr>
      </w:pPr>
    </w:p>
    <w:p w:rsidR="002F0095" w:rsidRPr="002F0095" w:rsidRDefault="00835C1E" w:rsidP="00835C1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 voie postale ou courriel</w:t>
      </w:r>
    </w:p>
    <w:p w:rsidR="000346DE" w:rsidRDefault="000346DE" w:rsidP="00835C1E">
      <w:pPr>
        <w:spacing w:after="0"/>
        <w:jc w:val="center"/>
        <w:rPr>
          <w:rFonts w:ascii="Arial" w:hAnsi="Arial" w:cs="Arial"/>
          <w:b/>
          <w:color w:val="FF0000"/>
        </w:rPr>
      </w:pPr>
      <w:r w:rsidRPr="000346DE">
        <w:rPr>
          <w:rFonts w:ascii="Arial" w:hAnsi="Arial" w:cs="Arial"/>
          <w:b/>
        </w:rPr>
        <w:t>Service Départemental à la Jeunesse, à l’Engagement et aux Sports</w:t>
      </w:r>
      <w:r>
        <w:rPr>
          <w:rFonts w:ascii="Arial" w:hAnsi="Arial" w:cs="Arial"/>
        </w:rPr>
        <w:t xml:space="preserve"> </w:t>
      </w:r>
    </w:p>
    <w:p w:rsidR="00A05622" w:rsidRPr="003E0A38" w:rsidRDefault="00325192" w:rsidP="000346D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22 rue Guillaume VII Le Troubadour</w:t>
      </w:r>
      <w:r w:rsidR="002F0095" w:rsidRPr="009C5EF8">
        <w:rPr>
          <w:rFonts w:ascii="Arial" w:hAnsi="Arial" w:cs="Arial"/>
          <w:b/>
          <w:color w:val="FF0000"/>
        </w:rPr>
        <w:t xml:space="preserve"> </w:t>
      </w:r>
      <w:r w:rsidR="003E0A3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-  CS 4</w:t>
      </w:r>
      <w:r w:rsidR="003E0A38" w:rsidRPr="003E0A38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25</w:t>
      </w:r>
    </w:p>
    <w:p w:rsidR="002F0095" w:rsidRPr="000346DE" w:rsidRDefault="002F0095" w:rsidP="00835C1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0346DE">
        <w:rPr>
          <w:rFonts w:ascii="Arial" w:hAnsi="Arial" w:cs="Arial"/>
          <w:b/>
          <w:color w:val="000000" w:themeColor="text1"/>
        </w:rPr>
        <w:t>860</w:t>
      </w:r>
      <w:r w:rsidR="00325192">
        <w:rPr>
          <w:rFonts w:ascii="Arial" w:hAnsi="Arial" w:cs="Arial"/>
          <w:b/>
          <w:color w:val="000000" w:themeColor="text1"/>
        </w:rPr>
        <w:t>22</w:t>
      </w:r>
      <w:r w:rsidRPr="000346DE">
        <w:rPr>
          <w:rFonts w:ascii="Arial" w:hAnsi="Arial" w:cs="Arial"/>
          <w:b/>
          <w:color w:val="000000" w:themeColor="text1"/>
        </w:rPr>
        <w:t xml:space="preserve"> POITIERS </w:t>
      </w:r>
      <w:r w:rsidR="00325192">
        <w:rPr>
          <w:rFonts w:ascii="Arial" w:hAnsi="Arial" w:cs="Arial"/>
          <w:b/>
          <w:color w:val="000000" w:themeColor="text1"/>
        </w:rPr>
        <w:t>Cedex</w:t>
      </w:r>
    </w:p>
    <w:p w:rsidR="002F0095" w:rsidRDefault="00506DC6" w:rsidP="00727781">
      <w:pPr>
        <w:spacing w:after="0"/>
        <w:jc w:val="center"/>
        <w:rPr>
          <w:rStyle w:val="Lienhypertexte"/>
          <w:rFonts w:ascii="Arial" w:hAnsi="Arial" w:cs="Arial"/>
          <w:b/>
          <w:color w:val="auto"/>
        </w:rPr>
      </w:pPr>
      <w:hyperlink r:id="rId9" w:history="1">
        <w:r w:rsidR="0083526B" w:rsidRPr="00C50B7E">
          <w:rPr>
            <w:rStyle w:val="Lienhypertexte"/>
            <w:rFonts w:ascii="Arial" w:hAnsi="Arial" w:cs="Arial"/>
            <w:b/>
          </w:rPr>
          <w:t>pel-sdjes86@ac-poitiers.fr</w:t>
        </w:r>
      </w:hyperlink>
    </w:p>
    <w:p w:rsidR="00727781" w:rsidRDefault="00727781" w:rsidP="0083526B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:rsidR="00EE7335" w:rsidRPr="00A0402A" w:rsidRDefault="00EE7335" w:rsidP="0083526B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:rsidR="00BB0C1E" w:rsidRPr="00BB0C1E" w:rsidRDefault="00751085" w:rsidP="00974CE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Démarches selon la situation au regard du PEdT</w:t>
      </w:r>
    </w:p>
    <w:p w:rsidR="00887D24" w:rsidRPr="00313744" w:rsidRDefault="00887D24" w:rsidP="00804B77">
      <w:pPr>
        <w:spacing w:after="0"/>
        <w:jc w:val="center"/>
        <w:rPr>
          <w:rFonts w:ascii="Arial" w:hAnsi="Arial" w:cs="Arial"/>
          <w:b/>
          <w:sz w:val="8"/>
          <w:szCs w:val="16"/>
        </w:rPr>
      </w:pPr>
    </w:p>
    <w:tbl>
      <w:tblPr>
        <w:tblStyle w:val="Grilledutableau"/>
        <w:tblW w:w="15276" w:type="dxa"/>
        <w:jc w:val="center"/>
        <w:tblLook w:val="04A0" w:firstRow="1" w:lastRow="0" w:firstColumn="1" w:lastColumn="0" w:noHBand="0" w:noVBand="1"/>
      </w:tblPr>
      <w:tblGrid>
        <w:gridCol w:w="3085"/>
        <w:gridCol w:w="7088"/>
        <w:gridCol w:w="5103"/>
      </w:tblGrid>
      <w:tr w:rsidR="00804B77" w:rsidTr="003A450C">
        <w:trPr>
          <w:jc w:val="center"/>
        </w:trPr>
        <w:tc>
          <w:tcPr>
            <w:tcW w:w="3085" w:type="dxa"/>
            <w:vAlign w:val="center"/>
          </w:tcPr>
          <w:p w:rsidR="00804B77" w:rsidRPr="003A450C" w:rsidRDefault="00804B77" w:rsidP="003A4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t>Situation PEdT</w:t>
            </w:r>
          </w:p>
        </w:tc>
        <w:tc>
          <w:tcPr>
            <w:tcW w:w="7088" w:type="dxa"/>
            <w:vAlign w:val="center"/>
          </w:tcPr>
          <w:p w:rsidR="00804B77" w:rsidRPr="003A450C" w:rsidRDefault="000F65FE" w:rsidP="003A4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t xml:space="preserve">Á 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>faire</w:t>
            </w:r>
          </w:p>
        </w:tc>
        <w:tc>
          <w:tcPr>
            <w:tcW w:w="5103" w:type="dxa"/>
            <w:vAlign w:val="center"/>
          </w:tcPr>
          <w:p w:rsidR="00804B77" w:rsidRPr="003A450C" w:rsidRDefault="00804B77" w:rsidP="003A4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t>Document</w:t>
            </w:r>
            <w:r w:rsidR="002F0095" w:rsidRPr="003A450C">
              <w:rPr>
                <w:rFonts w:ascii="Arial" w:hAnsi="Arial" w:cs="Arial"/>
                <w:sz w:val="20"/>
                <w:szCs w:val="20"/>
              </w:rPr>
              <w:t>s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 à transmettre</w:t>
            </w:r>
          </w:p>
        </w:tc>
      </w:tr>
      <w:tr w:rsidR="00804B77" w:rsidTr="00D80DE8">
        <w:trPr>
          <w:jc w:val="center"/>
        </w:trPr>
        <w:tc>
          <w:tcPr>
            <w:tcW w:w="3085" w:type="dxa"/>
            <w:vAlign w:val="center"/>
          </w:tcPr>
          <w:p w:rsidR="00804B77" w:rsidRPr="003A450C" w:rsidRDefault="000F65FE" w:rsidP="00804B7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t xml:space="preserve">Convention 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>PEdT en cours de validité</w:t>
            </w:r>
          </w:p>
        </w:tc>
        <w:tc>
          <w:tcPr>
            <w:tcW w:w="7088" w:type="dxa"/>
          </w:tcPr>
          <w:p w:rsidR="00804B77" w:rsidRPr="003A450C" w:rsidRDefault="001B0AFC" w:rsidP="004079F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F65FE" w:rsidRPr="003A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C19">
              <w:rPr>
                <w:rFonts w:ascii="Arial" w:hAnsi="Arial" w:cs="Arial"/>
                <w:sz w:val="20"/>
                <w:szCs w:val="20"/>
              </w:rPr>
              <w:t>V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>érifier que le mercredi est inclus dans le PEdT (si ce n’est pas le cas un complément est à faire pour inclure le temps du mercredi au PEdT, ainsi qu’un avenant à la convention PEdT</w:t>
            </w:r>
            <w:r w:rsidR="000F65FE" w:rsidRPr="003A450C">
              <w:rPr>
                <w:rFonts w:ascii="Arial" w:hAnsi="Arial" w:cs="Arial"/>
                <w:sz w:val="20"/>
                <w:szCs w:val="20"/>
              </w:rPr>
              <w:t>)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 xml:space="preserve"> ; </w:t>
            </w:r>
          </w:p>
          <w:p w:rsidR="00804B77" w:rsidRPr="003A450C" w:rsidRDefault="001B0AFC" w:rsidP="006C58D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C19">
              <w:rPr>
                <w:rFonts w:ascii="Arial" w:hAnsi="Arial" w:cs="Arial"/>
                <w:sz w:val="20"/>
                <w:szCs w:val="20"/>
              </w:rPr>
              <w:t>V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 xml:space="preserve">érifier qu’il y a un accueil déclaré </w:t>
            </w:r>
            <w:r w:rsidR="006C58D7">
              <w:rPr>
                <w:rFonts w:ascii="Arial" w:hAnsi="Arial" w:cs="Arial"/>
                <w:sz w:val="20"/>
                <w:szCs w:val="20"/>
              </w:rPr>
              <w:t>au SDJES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 xml:space="preserve"> (si ce n’est pas le cas, se rapprocher d</w:t>
            </w:r>
            <w:r w:rsidR="006C58D7">
              <w:rPr>
                <w:rFonts w:ascii="Arial" w:hAnsi="Arial" w:cs="Arial"/>
                <w:sz w:val="20"/>
                <w:szCs w:val="20"/>
              </w:rPr>
              <w:t>u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8D7">
              <w:rPr>
                <w:rFonts w:ascii="Arial" w:hAnsi="Arial" w:cs="Arial"/>
                <w:sz w:val="20"/>
                <w:szCs w:val="20"/>
              </w:rPr>
              <w:t>SDJES</w:t>
            </w:r>
            <w:r w:rsidR="00804B77" w:rsidRPr="003A450C">
              <w:rPr>
                <w:rFonts w:ascii="Arial" w:hAnsi="Arial" w:cs="Arial"/>
                <w:sz w:val="20"/>
                <w:szCs w:val="20"/>
              </w:rPr>
              <w:t xml:space="preserve"> pour vous accompagner dans l’éventuelle possibilité de déclaration d’un accueil périscolaire le mercredi. </w:t>
            </w:r>
          </w:p>
        </w:tc>
        <w:tc>
          <w:tcPr>
            <w:tcW w:w="5103" w:type="dxa"/>
          </w:tcPr>
          <w:p w:rsidR="001B0AFC" w:rsidRPr="003A450C" w:rsidRDefault="001B0AFC" w:rsidP="004079F9">
            <w:pPr>
              <w:spacing w:before="120" w:after="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Actualisation du PEdT en intégrant le mercredi et en définissant ce qui est proposé ainsi que les pistes d’amélioration envisagées </w:t>
            </w:r>
          </w:p>
          <w:p w:rsidR="001B0AFC" w:rsidRPr="003A450C" w:rsidRDefault="001B0AFC" w:rsidP="001B0AFC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Le dossier plan mercredi* </w:t>
            </w:r>
          </w:p>
          <w:p w:rsidR="002F0095" w:rsidRPr="003A450C" w:rsidRDefault="002F0095" w:rsidP="00832C95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Au plus tard le </w:t>
            </w:r>
            <w:r w:rsidR="00506DC6">
              <w:rPr>
                <w:rFonts w:ascii="Arial" w:hAnsi="Arial" w:cs="Arial"/>
                <w:sz w:val="20"/>
                <w:szCs w:val="20"/>
              </w:rPr>
              <w:t>vendredi 31 mai 2024</w:t>
            </w:r>
            <w:r w:rsidR="007B1F0E">
              <w:rPr>
                <w:rFonts w:ascii="Arial" w:hAnsi="Arial" w:cs="Arial"/>
                <w:b/>
              </w:rPr>
              <w:t xml:space="preserve"> 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délai de rigueur </w:t>
            </w:r>
            <w:r w:rsidR="006C58D7">
              <w:rPr>
                <w:rFonts w:ascii="Arial" w:hAnsi="Arial" w:cs="Arial"/>
                <w:sz w:val="20"/>
                <w:szCs w:val="20"/>
              </w:rPr>
              <w:t>au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8D7">
              <w:rPr>
                <w:rFonts w:ascii="Arial" w:hAnsi="Arial" w:cs="Arial"/>
                <w:sz w:val="20"/>
                <w:szCs w:val="20"/>
              </w:rPr>
              <w:t>SDJE</w:t>
            </w:r>
            <w:r w:rsidRPr="003A450C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04B77" w:rsidTr="00D80DE8">
        <w:trPr>
          <w:jc w:val="center"/>
        </w:trPr>
        <w:tc>
          <w:tcPr>
            <w:tcW w:w="3085" w:type="dxa"/>
            <w:vAlign w:val="center"/>
          </w:tcPr>
          <w:p w:rsidR="00804B77" w:rsidRPr="009F2BB4" w:rsidRDefault="00804B77" w:rsidP="0072778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BB4">
              <w:rPr>
                <w:rFonts w:ascii="Arial" w:hAnsi="Arial" w:cs="Arial"/>
                <w:sz w:val="20"/>
                <w:szCs w:val="20"/>
              </w:rPr>
              <w:t>PEdT en renouvellement à partir de septembre 20</w:t>
            </w:r>
            <w:r w:rsidR="002F0095" w:rsidRPr="009F2BB4">
              <w:rPr>
                <w:rFonts w:ascii="Arial" w:hAnsi="Arial" w:cs="Arial"/>
                <w:sz w:val="20"/>
                <w:szCs w:val="20"/>
              </w:rPr>
              <w:t>2</w:t>
            </w:r>
            <w:r w:rsidR="00506D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727781" w:rsidRPr="009F2BB4" w:rsidRDefault="00764C19" w:rsidP="004079F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BB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9F2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781" w:rsidRPr="009F2BB4">
              <w:rPr>
                <w:rFonts w:ascii="Arial" w:hAnsi="Arial" w:cs="Arial"/>
                <w:sz w:val="20"/>
                <w:szCs w:val="20"/>
              </w:rPr>
              <w:t>Faire l’évaluation du</w:t>
            </w:r>
            <w:bookmarkStart w:id="0" w:name="_GoBack"/>
            <w:bookmarkEnd w:id="0"/>
            <w:r w:rsidR="00727781" w:rsidRPr="009F2BB4">
              <w:rPr>
                <w:rFonts w:ascii="Arial" w:hAnsi="Arial" w:cs="Arial"/>
                <w:sz w:val="20"/>
                <w:szCs w:val="20"/>
              </w:rPr>
              <w:t xml:space="preserve"> PEdT, définir les nouvelles perspectives et intégrer le plan mercredi </w:t>
            </w:r>
          </w:p>
          <w:p w:rsidR="00804B77" w:rsidRPr="009F2BB4" w:rsidRDefault="00764C19" w:rsidP="004079F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BB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9F2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AFC" w:rsidRPr="009F2BB4">
              <w:rPr>
                <w:rFonts w:ascii="Arial" w:hAnsi="Arial" w:cs="Arial"/>
                <w:sz w:val="20"/>
                <w:szCs w:val="20"/>
              </w:rPr>
              <w:t>Vérifier que vous remplissez les 3 conditions cumulatives de labellisation</w:t>
            </w:r>
          </w:p>
          <w:p w:rsidR="001B0AFC" w:rsidRPr="009F2BB4" w:rsidRDefault="00764C19" w:rsidP="006C58D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BB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9F2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AFC" w:rsidRPr="009F2BB4">
              <w:rPr>
                <w:rFonts w:ascii="Arial" w:hAnsi="Arial" w:cs="Arial"/>
                <w:sz w:val="20"/>
                <w:szCs w:val="20"/>
              </w:rPr>
              <w:t xml:space="preserve">Informer </w:t>
            </w:r>
            <w:r w:rsidR="006C58D7" w:rsidRPr="009F2BB4">
              <w:rPr>
                <w:rFonts w:ascii="Arial" w:hAnsi="Arial" w:cs="Arial"/>
                <w:sz w:val="20"/>
                <w:szCs w:val="20"/>
              </w:rPr>
              <w:t>le SDJES</w:t>
            </w:r>
            <w:r w:rsidR="001B0AFC" w:rsidRPr="009F2B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CC270A" w:rsidRPr="009F2BB4" w:rsidRDefault="00CC270A" w:rsidP="003A450C">
            <w:pPr>
              <w:spacing w:before="120" w:after="6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9F2BB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9F2BB4">
              <w:rPr>
                <w:rFonts w:ascii="Arial" w:hAnsi="Arial" w:cs="Arial"/>
                <w:sz w:val="20"/>
                <w:szCs w:val="20"/>
              </w:rPr>
              <w:t>Imprimé PEdT « bilan évaluation perspectives »</w:t>
            </w:r>
          </w:p>
          <w:p w:rsidR="00804B77" w:rsidRPr="009F2BB4" w:rsidRDefault="00CC270A" w:rsidP="003A45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BB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9F2BB4">
              <w:rPr>
                <w:rFonts w:ascii="Arial" w:hAnsi="Arial" w:cs="Arial"/>
                <w:sz w:val="20"/>
                <w:szCs w:val="20"/>
              </w:rPr>
              <w:t>Le dossier plan mercredi*</w:t>
            </w:r>
            <w:r w:rsidR="00727781" w:rsidRPr="009F2B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9F9" w:rsidRPr="009F2BB4" w:rsidRDefault="004079F9" w:rsidP="008352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BB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9F2BB4">
              <w:rPr>
                <w:rFonts w:ascii="Arial" w:hAnsi="Arial" w:cs="Arial"/>
                <w:sz w:val="20"/>
                <w:szCs w:val="20"/>
              </w:rPr>
              <w:t xml:space="preserve">Au plus tard le </w:t>
            </w:r>
            <w:r w:rsidR="00506DC6">
              <w:rPr>
                <w:rFonts w:ascii="Arial" w:hAnsi="Arial" w:cs="Arial"/>
                <w:sz w:val="20"/>
                <w:szCs w:val="20"/>
              </w:rPr>
              <w:t>vendredi 31 mai 2024</w:t>
            </w:r>
            <w:r w:rsidRPr="009F2BB4">
              <w:rPr>
                <w:rFonts w:ascii="Arial" w:hAnsi="Arial" w:cs="Arial"/>
                <w:sz w:val="20"/>
                <w:szCs w:val="20"/>
              </w:rPr>
              <w:t xml:space="preserve"> délai de rigueur </w:t>
            </w:r>
            <w:r w:rsidR="006C58D7" w:rsidRPr="009F2BB4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Pr="009F2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8D7" w:rsidRPr="009F2BB4">
              <w:rPr>
                <w:rFonts w:ascii="Arial" w:hAnsi="Arial" w:cs="Arial"/>
                <w:sz w:val="20"/>
                <w:szCs w:val="20"/>
              </w:rPr>
              <w:t>SDJE</w:t>
            </w:r>
            <w:r w:rsidRPr="009F2BB4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04B77" w:rsidTr="00D80DE8">
        <w:trPr>
          <w:jc w:val="center"/>
        </w:trPr>
        <w:tc>
          <w:tcPr>
            <w:tcW w:w="3085" w:type="dxa"/>
            <w:vAlign w:val="center"/>
          </w:tcPr>
          <w:p w:rsidR="00804B77" w:rsidRPr="003A450C" w:rsidRDefault="001B0AFC" w:rsidP="002F00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t>Commune</w:t>
            </w:r>
            <w:r w:rsidR="000F65FE" w:rsidRPr="003A450C">
              <w:rPr>
                <w:rFonts w:ascii="Arial" w:hAnsi="Arial" w:cs="Arial"/>
                <w:sz w:val="20"/>
                <w:szCs w:val="20"/>
              </w:rPr>
              <w:t>s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095" w:rsidRPr="003A450C">
              <w:rPr>
                <w:rFonts w:ascii="Arial" w:hAnsi="Arial" w:cs="Arial"/>
                <w:sz w:val="20"/>
                <w:szCs w:val="20"/>
              </w:rPr>
              <w:t>souhaitant élaborer un PEdT labellisé PM</w:t>
            </w:r>
          </w:p>
        </w:tc>
        <w:tc>
          <w:tcPr>
            <w:tcW w:w="7088" w:type="dxa"/>
          </w:tcPr>
          <w:p w:rsidR="00804B77" w:rsidRPr="003A450C" w:rsidRDefault="001B0AFC" w:rsidP="004079F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F65FE" w:rsidRPr="003A450C">
              <w:rPr>
                <w:rFonts w:ascii="Arial" w:hAnsi="Arial" w:cs="Arial"/>
                <w:sz w:val="20"/>
                <w:szCs w:val="20"/>
              </w:rPr>
              <w:t>Écrire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 un PEdT intégrant le mercredi</w:t>
            </w:r>
          </w:p>
          <w:p w:rsidR="001B0AFC" w:rsidRPr="003A450C" w:rsidRDefault="001B0AFC" w:rsidP="006C58D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F65FE" w:rsidRPr="003A450C">
              <w:rPr>
                <w:rFonts w:ascii="Arial" w:hAnsi="Arial" w:cs="Arial"/>
                <w:sz w:val="20"/>
                <w:szCs w:val="20"/>
              </w:rPr>
              <w:t>V</w:t>
            </w:r>
            <w:r w:rsidRPr="003A450C">
              <w:rPr>
                <w:rFonts w:ascii="Arial" w:hAnsi="Arial" w:cs="Arial"/>
                <w:sz w:val="20"/>
                <w:szCs w:val="20"/>
              </w:rPr>
              <w:t>érifie</w:t>
            </w:r>
            <w:r w:rsidR="006C58D7">
              <w:rPr>
                <w:rFonts w:ascii="Arial" w:hAnsi="Arial" w:cs="Arial"/>
                <w:sz w:val="20"/>
                <w:szCs w:val="20"/>
              </w:rPr>
              <w:t>r qu’il y a un accueil déclaré au SDJE</w:t>
            </w:r>
            <w:r w:rsidR="006C58D7" w:rsidRPr="003A450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(si ce n’est pas le cas, se rapprocher </w:t>
            </w:r>
            <w:r w:rsidR="006C58D7">
              <w:rPr>
                <w:rFonts w:ascii="Arial" w:hAnsi="Arial" w:cs="Arial"/>
                <w:sz w:val="20"/>
                <w:szCs w:val="20"/>
              </w:rPr>
              <w:t>du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8D7">
              <w:rPr>
                <w:rFonts w:ascii="Arial" w:hAnsi="Arial" w:cs="Arial"/>
                <w:sz w:val="20"/>
                <w:szCs w:val="20"/>
              </w:rPr>
              <w:t>SDJE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S pour vous accompagner dans l’éventuelle possibilité de déclaration d’un accueil périscolaire le mercredi. </w:t>
            </w:r>
          </w:p>
        </w:tc>
        <w:tc>
          <w:tcPr>
            <w:tcW w:w="5103" w:type="dxa"/>
          </w:tcPr>
          <w:p w:rsidR="00CC270A" w:rsidRPr="003A450C" w:rsidRDefault="00CC270A" w:rsidP="003A450C">
            <w:pPr>
              <w:spacing w:before="120" w:after="6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A450C">
              <w:rPr>
                <w:rFonts w:ascii="Arial" w:hAnsi="Arial" w:cs="Arial"/>
                <w:sz w:val="20"/>
                <w:szCs w:val="20"/>
              </w:rPr>
              <w:t>Imprimé « </w:t>
            </w:r>
            <w:r w:rsidR="005C1F32">
              <w:rPr>
                <w:rFonts w:ascii="Arial" w:hAnsi="Arial" w:cs="Arial"/>
                <w:sz w:val="20"/>
                <w:szCs w:val="20"/>
              </w:rPr>
              <w:t xml:space="preserve">nouveau </w:t>
            </w:r>
            <w:r w:rsidR="002F0095" w:rsidRPr="003A450C">
              <w:rPr>
                <w:rFonts w:ascii="Arial" w:hAnsi="Arial" w:cs="Arial"/>
                <w:sz w:val="20"/>
                <w:szCs w:val="20"/>
              </w:rPr>
              <w:t>PEdT » 202</w:t>
            </w:r>
            <w:r w:rsidR="00506DC6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04B77" w:rsidRPr="003A450C" w:rsidRDefault="00CC270A" w:rsidP="003A450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A450C">
              <w:rPr>
                <w:rFonts w:ascii="Arial" w:hAnsi="Arial" w:cs="Arial"/>
                <w:sz w:val="20"/>
                <w:szCs w:val="20"/>
              </w:rPr>
              <w:t>Le dossier plan mercredi*</w:t>
            </w:r>
          </w:p>
          <w:p w:rsidR="004079F9" w:rsidRPr="003A450C" w:rsidRDefault="004079F9" w:rsidP="0072778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50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Au plus tard le </w:t>
            </w:r>
            <w:r w:rsidR="00506DC6">
              <w:rPr>
                <w:rFonts w:ascii="Arial" w:hAnsi="Arial" w:cs="Arial"/>
                <w:sz w:val="20"/>
                <w:szCs w:val="20"/>
              </w:rPr>
              <w:t>vendredi 31 mai 2024</w:t>
            </w:r>
            <w:r w:rsidRPr="003A450C">
              <w:rPr>
                <w:rFonts w:ascii="Arial" w:hAnsi="Arial" w:cs="Arial"/>
                <w:sz w:val="20"/>
                <w:szCs w:val="20"/>
              </w:rPr>
              <w:t xml:space="preserve"> délai de rigueur </w:t>
            </w:r>
            <w:r w:rsidR="006C58D7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="006C58D7" w:rsidRPr="003A4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8D7">
              <w:rPr>
                <w:rFonts w:ascii="Arial" w:hAnsi="Arial" w:cs="Arial"/>
                <w:sz w:val="20"/>
                <w:szCs w:val="20"/>
              </w:rPr>
              <w:t>SDJE</w:t>
            </w:r>
            <w:r w:rsidR="006C58D7" w:rsidRPr="003A450C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:rsidR="00CC270A" w:rsidRPr="001B0AFC" w:rsidRDefault="005726DA" w:rsidP="00CC270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CC270A" w:rsidRPr="001B0AFC">
        <w:rPr>
          <w:rFonts w:ascii="Arial" w:hAnsi="Arial" w:cs="Arial"/>
          <w:b/>
        </w:rPr>
        <w:t xml:space="preserve">Documents </w:t>
      </w:r>
      <w:r w:rsidR="00CC270A">
        <w:rPr>
          <w:rFonts w:ascii="Arial" w:hAnsi="Arial" w:cs="Arial"/>
          <w:b/>
        </w:rPr>
        <w:t>spécifiques « </w:t>
      </w:r>
      <w:r w:rsidR="00CC270A" w:rsidRPr="001B0AFC">
        <w:rPr>
          <w:rFonts w:ascii="Arial" w:hAnsi="Arial" w:cs="Arial"/>
          <w:b/>
        </w:rPr>
        <w:t>Plan mercredi</w:t>
      </w:r>
      <w:r w:rsidR="00CC270A">
        <w:rPr>
          <w:rFonts w:ascii="Arial" w:hAnsi="Arial" w:cs="Arial"/>
          <w:b/>
        </w:rPr>
        <w:t> »</w:t>
      </w:r>
    </w:p>
    <w:p w:rsidR="00CC270A" w:rsidRDefault="00541BEF" w:rsidP="00CC270A">
      <w:pPr>
        <w:pStyle w:val="Paragraphedeliste"/>
        <w:numPr>
          <w:ilvl w:val="0"/>
          <w:numId w:val="14"/>
        </w:numPr>
        <w:spacing w:after="8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Imprimé </w:t>
      </w:r>
      <w:r w:rsidR="00CC270A">
        <w:rPr>
          <w:rFonts w:ascii="Arial" w:hAnsi="Arial" w:cs="Arial"/>
        </w:rPr>
        <w:t xml:space="preserve">PM </w:t>
      </w:r>
      <w:r w:rsidR="00A0402A">
        <w:rPr>
          <w:rFonts w:ascii="Arial" w:hAnsi="Arial" w:cs="Arial"/>
        </w:rPr>
        <w:t>a</w:t>
      </w:r>
      <w:r w:rsidR="00CC270A">
        <w:rPr>
          <w:rFonts w:ascii="Arial" w:hAnsi="Arial" w:cs="Arial"/>
        </w:rPr>
        <w:t xml:space="preserve">nnexe 1 : </w:t>
      </w:r>
      <w:r w:rsidR="00CC270A" w:rsidRPr="0076452F">
        <w:rPr>
          <w:rFonts w:ascii="Arial" w:hAnsi="Arial" w:cs="Arial"/>
        </w:rPr>
        <w:t>information re</w:t>
      </w:r>
      <w:r w:rsidR="00CC270A">
        <w:rPr>
          <w:rFonts w:ascii="Arial" w:hAnsi="Arial" w:cs="Arial"/>
        </w:rPr>
        <w:t>l</w:t>
      </w:r>
      <w:r w:rsidR="00CC270A" w:rsidRPr="0076452F">
        <w:rPr>
          <w:rFonts w:ascii="Arial" w:hAnsi="Arial" w:cs="Arial"/>
        </w:rPr>
        <w:t>ative aux accueil</w:t>
      </w:r>
      <w:r w:rsidR="00CC270A">
        <w:rPr>
          <w:rFonts w:ascii="Arial" w:hAnsi="Arial" w:cs="Arial"/>
        </w:rPr>
        <w:t>s</w:t>
      </w:r>
      <w:r w:rsidR="00CC270A" w:rsidRPr="0076452F">
        <w:rPr>
          <w:rFonts w:ascii="Arial" w:hAnsi="Arial" w:cs="Arial"/>
        </w:rPr>
        <w:t xml:space="preserve"> périscolaire</w:t>
      </w:r>
      <w:r w:rsidR="00CC270A">
        <w:rPr>
          <w:rFonts w:ascii="Arial" w:hAnsi="Arial" w:cs="Arial"/>
        </w:rPr>
        <w:t>s</w:t>
      </w:r>
      <w:r w:rsidR="00CC270A" w:rsidRPr="0076452F">
        <w:rPr>
          <w:rFonts w:ascii="Arial" w:hAnsi="Arial" w:cs="Arial"/>
        </w:rPr>
        <w:t xml:space="preserve"> du mercredi </w:t>
      </w:r>
    </w:p>
    <w:p w:rsidR="00CC270A" w:rsidRDefault="00541BEF" w:rsidP="00CC270A">
      <w:pPr>
        <w:pStyle w:val="Paragraphedeliste"/>
        <w:numPr>
          <w:ilvl w:val="0"/>
          <w:numId w:val="14"/>
        </w:numPr>
        <w:spacing w:after="8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Imprimé </w:t>
      </w:r>
      <w:r w:rsidR="00CC270A">
        <w:rPr>
          <w:rFonts w:ascii="Arial" w:hAnsi="Arial" w:cs="Arial"/>
        </w:rPr>
        <w:t xml:space="preserve">PM </w:t>
      </w:r>
      <w:r w:rsidR="00A0402A">
        <w:rPr>
          <w:rFonts w:ascii="Arial" w:hAnsi="Arial" w:cs="Arial"/>
        </w:rPr>
        <w:t>a</w:t>
      </w:r>
      <w:r w:rsidR="00CC270A">
        <w:rPr>
          <w:rFonts w:ascii="Arial" w:hAnsi="Arial" w:cs="Arial"/>
        </w:rPr>
        <w:t xml:space="preserve">nnexe 2 : </w:t>
      </w:r>
      <w:r w:rsidR="005F440B">
        <w:rPr>
          <w:rFonts w:ascii="Arial" w:hAnsi="Arial" w:cs="Arial"/>
        </w:rPr>
        <w:t>action</w:t>
      </w:r>
      <w:r w:rsidR="001A1023">
        <w:rPr>
          <w:rFonts w:ascii="Arial" w:hAnsi="Arial" w:cs="Arial"/>
        </w:rPr>
        <w:t>s</w:t>
      </w:r>
      <w:r w:rsidR="005F440B">
        <w:rPr>
          <w:rFonts w:ascii="Arial" w:hAnsi="Arial" w:cs="Arial"/>
        </w:rPr>
        <w:t xml:space="preserve"> prévues (</w:t>
      </w:r>
      <w:r w:rsidR="00CC270A">
        <w:rPr>
          <w:rFonts w:ascii="Arial" w:hAnsi="Arial" w:cs="Arial"/>
        </w:rPr>
        <w:t>au regard des critères de la charte qualité plan mercredi</w:t>
      </w:r>
      <w:r w:rsidR="005F440B">
        <w:rPr>
          <w:rFonts w:ascii="Arial" w:hAnsi="Arial" w:cs="Arial"/>
        </w:rPr>
        <w:t>)</w:t>
      </w:r>
    </w:p>
    <w:p w:rsidR="00313744" w:rsidRPr="00584E00" w:rsidRDefault="00541BEF" w:rsidP="003A450C">
      <w:pPr>
        <w:pStyle w:val="Paragraphedeliste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584E00">
        <w:rPr>
          <w:rFonts w:ascii="Arial" w:hAnsi="Arial" w:cs="Arial"/>
        </w:rPr>
        <w:t xml:space="preserve">Imprimé PM </w:t>
      </w:r>
      <w:r w:rsidR="00A0402A" w:rsidRPr="00584E00">
        <w:rPr>
          <w:rFonts w:ascii="Arial" w:hAnsi="Arial" w:cs="Arial"/>
        </w:rPr>
        <w:t>a</w:t>
      </w:r>
      <w:r w:rsidR="00CC270A" w:rsidRPr="00584E00">
        <w:rPr>
          <w:rFonts w:ascii="Arial" w:hAnsi="Arial" w:cs="Arial"/>
        </w:rPr>
        <w:t>nnexe 3</w:t>
      </w:r>
      <w:r w:rsidR="00313744" w:rsidRPr="00584E00">
        <w:rPr>
          <w:rFonts w:ascii="Arial" w:hAnsi="Arial" w:cs="Arial"/>
        </w:rPr>
        <w:t xml:space="preserve"> : </w:t>
      </w:r>
      <w:r w:rsidR="00506DC6">
        <w:rPr>
          <w:rFonts w:ascii="Arial" w:hAnsi="Arial" w:cs="Arial"/>
        </w:rPr>
        <w:t xml:space="preserve">données prévisionnelles 2024 </w:t>
      </w:r>
      <w:r w:rsidR="00CC270A" w:rsidRPr="00584E00">
        <w:rPr>
          <w:rFonts w:ascii="Arial" w:hAnsi="Arial" w:cs="Arial"/>
        </w:rPr>
        <w:t>(document CAF</w:t>
      </w:r>
      <w:r w:rsidR="00313744" w:rsidRPr="00584E00">
        <w:rPr>
          <w:rFonts w:ascii="Arial" w:hAnsi="Arial" w:cs="Arial"/>
        </w:rPr>
        <w:t>)</w:t>
      </w:r>
    </w:p>
    <w:p w:rsidR="00313744" w:rsidRPr="00584E00" w:rsidRDefault="00541BEF" w:rsidP="00425F9C">
      <w:pPr>
        <w:pStyle w:val="Paragraphedeliste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584E00">
        <w:rPr>
          <w:rFonts w:ascii="Arial" w:hAnsi="Arial" w:cs="Arial"/>
        </w:rPr>
        <w:t xml:space="preserve">Imprimé PM </w:t>
      </w:r>
      <w:r w:rsidR="00A0402A" w:rsidRPr="00584E00">
        <w:rPr>
          <w:rFonts w:ascii="Arial" w:hAnsi="Arial" w:cs="Arial"/>
        </w:rPr>
        <w:t>a</w:t>
      </w:r>
      <w:r w:rsidR="00313744" w:rsidRPr="00584E00">
        <w:rPr>
          <w:rFonts w:ascii="Arial" w:hAnsi="Arial" w:cs="Arial"/>
        </w:rPr>
        <w:t>nnexe 3 bis : </w:t>
      </w:r>
      <w:r w:rsidR="00307C0A" w:rsidRPr="00584E00">
        <w:rPr>
          <w:rFonts w:ascii="Arial" w:hAnsi="Arial" w:cs="Arial"/>
        </w:rPr>
        <w:t>données réelles</w:t>
      </w:r>
      <w:r w:rsidR="001A7278" w:rsidRPr="00584E00">
        <w:rPr>
          <w:rFonts w:ascii="Arial" w:hAnsi="Arial" w:cs="Arial"/>
        </w:rPr>
        <w:t xml:space="preserve"> </w:t>
      </w:r>
      <w:r w:rsidR="00313744" w:rsidRPr="00584E00">
        <w:rPr>
          <w:rFonts w:ascii="Arial" w:hAnsi="Arial" w:cs="Arial"/>
        </w:rPr>
        <w:t>20</w:t>
      </w:r>
      <w:r w:rsidR="00506DC6">
        <w:rPr>
          <w:rFonts w:ascii="Arial" w:hAnsi="Arial" w:cs="Arial"/>
        </w:rPr>
        <w:t>23</w:t>
      </w:r>
      <w:r w:rsidR="00425F9C" w:rsidRPr="00584E00">
        <w:rPr>
          <w:rFonts w:ascii="Arial" w:hAnsi="Arial" w:cs="Arial"/>
        </w:rPr>
        <w:t xml:space="preserve"> (document CAF)</w:t>
      </w:r>
    </w:p>
    <w:p w:rsidR="003A450C" w:rsidRPr="003A450C" w:rsidRDefault="00541BEF" w:rsidP="003A450C">
      <w:pPr>
        <w:pStyle w:val="Paragraphedeliste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Imprimé PM </w:t>
      </w:r>
      <w:r w:rsidR="00A0402A">
        <w:rPr>
          <w:rFonts w:ascii="Arial" w:hAnsi="Arial" w:cs="Arial"/>
        </w:rPr>
        <w:t>a</w:t>
      </w:r>
      <w:r w:rsidR="003A450C">
        <w:rPr>
          <w:rFonts w:ascii="Arial" w:hAnsi="Arial" w:cs="Arial"/>
        </w:rPr>
        <w:t>nnexe 4 : bilan évaluation perspectives du plan mercredi</w:t>
      </w:r>
      <w:r w:rsidR="00111267">
        <w:rPr>
          <w:rFonts w:ascii="Arial" w:hAnsi="Arial" w:cs="Arial"/>
        </w:rPr>
        <w:t xml:space="preserve"> </w:t>
      </w:r>
    </w:p>
    <w:p w:rsidR="00740946" w:rsidRPr="00A0402A" w:rsidRDefault="00CC270A" w:rsidP="00A0402A">
      <w:pPr>
        <w:pStyle w:val="Paragraphedeliste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Les projets éducatifs et pédagogiques des accueils périscolaires concernés mentionnant les pistes d’amélioration pour répondre tout ou partie à la charte qualité plan mercredi.</w:t>
      </w:r>
      <w:r w:rsidR="00F90B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0C352" wp14:editId="70E2246F">
                <wp:simplePos x="0" y="0"/>
                <wp:positionH relativeFrom="column">
                  <wp:posOffset>-36195</wp:posOffset>
                </wp:positionH>
                <wp:positionV relativeFrom="paragraph">
                  <wp:posOffset>2046605</wp:posOffset>
                </wp:positionV>
                <wp:extent cx="5847715" cy="514985"/>
                <wp:effectExtent l="0" t="0" r="3175" b="254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B77" w:rsidRDefault="00804B7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C3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.85pt;margin-top:161.15pt;width:460.45pt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" filled="f" fillcolor="#c2d69b [1942]" stroked="f" strokecolor="#a5a5a5 [2092]">
                <v:textbox>
                  <w:txbxContent>
                    <w:p w:rsidR="00804B77" w:rsidRDefault="00804B77"/>
                  </w:txbxContent>
                </v:textbox>
              </v:shape>
            </w:pict>
          </mc:Fallback>
        </mc:AlternateContent>
      </w:r>
    </w:p>
    <w:sectPr w:rsidR="00740946" w:rsidRPr="00A0402A" w:rsidSect="000346DE">
      <w:headerReference w:type="default" r:id="rId10"/>
      <w:footerReference w:type="default" r:id="rId11"/>
      <w:pgSz w:w="16838" w:h="11906" w:orient="landscape"/>
      <w:pgMar w:top="1077" w:right="1134" w:bottom="1418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77" w:rsidRDefault="00804B77" w:rsidP="00F4565C">
      <w:pPr>
        <w:spacing w:after="0" w:line="240" w:lineRule="auto"/>
      </w:pPr>
      <w:r>
        <w:separator/>
      </w:r>
    </w:p>
  </w:endnote>
  <w:endnote w:type="continuationSeparator" w:id="0">
    <w:p w:rsidR="00804B77" w:rsidRDefault="00804B77" w:rsidP="00F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03"/>
      <w:gridCol w:w="12999"/>
    </w:tblGrid>
    <w:tr w:rsidR="00804B77">
      <w:tc>
        <w:tcPr>
          <w:tcW w:w="918" w:type="dxa"/>
        </w:tcPr>
        <w:p w:rsidR="00804B77" w:rsidRDefault="007F4CEA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804B77">
            <w:instrText>PAGE   \* MERGEFORMAT</w:instrText>
          </w:r>
          <w:r>
            <w:rPr>
              <w:szCs w:val="21"/>
            </w:rPr>
            <w:fldChar w:fldCharType="separate"/>
          </w:r>
          <w:r w:rsidR="00506DC6" w:rsidRPr="00506DC6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04B77" w:rsidRDefault="00804B77" w:rsidP="003E19E2">
          <w:pPr>
            <w:pStyle w:val="Pieddepage"/>
            <w:jc w:val="center"/>
          </w:pPr>
          <w:r>
            <w:t>PLAN MERCREDI DÉPARTEMENT DE LA VIENNE</w:t>
          </w:r>
        </w:p>
        <w:p w:rsidR="007B1F0E" w:rsidRDefault="009C5EF8" w:rsidP="007B1F0E">
          <w:pPr>
            <w:pStyle w:val="Pieddepage"/>
            <w:jc w:val="center"/>
          </w:pPr>
          <w:r>
            <w:t>Janvier</w:t>
          </w:r>
          <w:r w:rsidR="002F0095">
            <w:t xml:space="preserve"> 202</w:t>
          </w:r>
          <w:r w:rsidR="00506DC6">
            <w:t>4</w:t>
          </w:r>
        </w:p>
      </w:tc>
    </w:tr>
  </w:tbl>
  <w:p w:rsidR="00804B77" w:rsidRDefault="00804B77" w:rsidP="008D7ED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77" w:rsidRDefault="00804B77" w:rsidP="00F4565C">
      <w:pPr>
        <w:spacing w:after="0" w:line="240" w:lineRule="auto"/>
      </w:pPr>
      <w:r>
        <w:separator/>
      </w:r>
    </w:p>
  </w:footnote>
  <w:footnote w:type="continuationSeparator" w:id="0">
    <w:p w:rsidR="00804B77" w:rsidRDefault="00804B77" w:rsidP="00F4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11"/>
      <w:gridCol w:w="4244"/>
    </w:tblGrid>
    <w:tr w:rsidR="00804B77" w:rsidTr="00CC270A">
      <w:trPr>
        <w:trHeight w:val="354"/>
      </w:trPr>
      <w:sdt>
        <w:sdtPr>
          <w:rPr>
            <w:rFonts w:ascii="Arial" w:eastAsiaTheme="majorEastAsia" w:hAnsi="Arial" w:cs="Arial"/>
            <w:sz w:val="36"/>
            <w:szCs w:val="36"/>
          </w:rPr>
          <w:alias w:val="Titre"/>
          <w:id w:val="77761602"/>
          <w:placeholder>
            <w:docPart w:val="806D1C2ECB1D4561BDBC1B1CED3110F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091" w:type="dxa"/>
            </w:tcPr>
            <w:p w:rsidR="00804B77" w:rsidRDefault="008008EE" w:rsidP="008D0801">
              <w:pPr>
                <w:pStyle w:val="En-tte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" w:eastAsiaTheme="majorEastAsia" w:hAnsi="Arial" w:cs="Arial"/>
                  <w:sz w:val="36"/>
                  <w:szCs w:val="36"/>
                </w:rPr>
                <w:t>PROCEDURES</w:t>
              </w:r>
            </w:p>
          </w:tc>
        </w:sdtContent>
      </w:sdt>
      <w:tc>
        <w:tcPr>
          <w:tcW w:w="4161" w:type="dxa"/>
        </w:tcPr>
        <w:p w:rsidR="00804B77" w:rsidRDefault="00804B77" w:rsidP="00EE2E56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="Arial" w:hAnsi="Arial" w:cs="Arial"/>
              <w:i/>
              <w:noProof/>
              <w:lang w:eastAsia="fr-FR"/>
            </w:rPr>
            <w:drawing>
              <wp:inline distT="0" distB="0" distL="0" distR="0" wp14:anchorId="5D09A052" wp14:editId="55584653">
                <wp:extent cx="1703453" cy="491706"/>
                <wp:effectExtent l="0" t="0" r="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N-MERCRED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137" cy="491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4B77" w:rsidRDefault="00804B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D73"/>
    <w:multiLevelType w:val="hybridMultilevel"/>
    <w:tmpl w:val="7382E0BE"/>
    <w:lvl w:ilvl="0" w:tplc="9B36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C0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45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4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CD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05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63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44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4F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80C6C"/>
    <w:multiLevelType w:val="hybridMultilevel"/>
    <w:tmpl w:val="175A1A66"/>
    <w:lvl w:ilvl="0" w:tplc="DA56AF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38C6"/>
    <w:multiLevelType w:val="hybridMultilevel"/>
    <w:tmpl w:val="CD721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A98"/>
    <w:multiLevelType w:val="hybridMultilevel"/>
    <w:tmpl w:val="39EA52DA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F7BD0"/>
    <w:multiLevelType w:val="hybridMultilevel"/>
    <w:tmpl w:val="31305704"/>
    <w:lvl w:ilvl="0" w:tplc="AD7850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22808"/>
    <w:multiLevelType w:val="hybridMultilevel"/>
    <w:tmpl w:val="F746FBC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EE019A"/>
    <w:multiLevelType w:val="hybridMultilevel"/>
    <w:tmpl w:val="AB72DD40"/>
    <w:lvl w:ilvl="0" w:tplc="14A42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0A55"/>
    <w:multiLevelType w:val="hybridMultilevel"/>
    <w:tmpl w:val="33E8A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83ABF"/>
    <w:multiLevelType w:val="hybridMultilevel"/>
    <w:tmpl w:val="C4269F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3798"/>
    <w:multiLevelType w:val="hybridMultilevel"/>
    <w:tmpl w:val="243EAF6E"/>
    <w:lvl w:ilvl="0" w:tplc="95160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4D5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CD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43E8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48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05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49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A5D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D84363"/>
    <w:multiLevelType w:val="hybridMultilevel"/>
    <w:tmpl w:val="BAD8923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282E24"/>
    <w:multiLevelType w:val="hybridMultilevel"/>
    <w:tmpl w:val="B248ECD4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71300ED"/>
    <w:multiLevelType w:val="hybridMultilevel"/>
    <w:tmpl w:val="0B40E7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14798"/>
    <w:multiLevelType w:val="hybridMultilevel"/>
    <w:tmpl w:val="915CE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E6646"/>
    <w:multiLevelType w:val="hybridMultilevel"/>
    <w:tmpl w:val="D3563002"/>
    <w:lvl w:ilvl="0" w:tplc="3E1E7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A73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EC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24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A6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41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4D1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6BB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14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2C"/>
    <w:rsid w:val="00001C3F"/>
    <w:rsid w:val="00012E39"/>
    <w:rsid w:val="000346DE"/>
    <w:rsid w:val="00087EF1"/>
    <w:rsid w:val="00093F0C"/>
    <w:rsid w:val="000C6D6A"/>
    <w:rsid w:val="000C7942"/>
    <w:rsid w:val="000F2EA9"/>
    <w:rsid w:val="000F65FE"/>
    <w:rsid w:val="0010589D"/>
    <w:rsid w:val="00110733"/>
    <w:rsid w:val="00111267"/>
    <w:rsid w:val="00140C64"/>
    <w:rsid w:val="00146CB1"/>
    <w:rsid w:val="00152438"/>
    <w:rsid w:val="0017217A"/>
    <w:rsid w:val="00195D38"/>
    <w:rsid w:val="001A1023"/>
    <w:rsid w:val="001A7278"/>
    <w:rsid w:val="001B0AFC"/>
    <w:rsid w:val="001C43DC"/>
    <w:rsid w:val="001D0A3C"/>
    <w:rsid w:val="002003F5"/>
    <w:rsid w:val="00231BC9"/>
    <w:rsid w:val="002359B7"/>
    <w:rsid w:val="0024080D"/>
    <w:rsid w:val="0024350A"/>
    <w:rsid w:val="00257D63"/>
    <w:rsid w:val="00281889"/>
    <w:rsid w:val="002B7431"/>
    <w:rsid w:val="002B75D7"/>
    <w:rsid w:val="002F0095"/>
    <w:rsid w:val="003077F1"/>
    <w:rsid w:val="00307C0A"/>
    <w:rsid w:val="00313744"/>
    <w:rsid w:val="00325192"/>
    <w:rsid w:val="003501C7"/>
    <w:rsid w:val="003A3896"/>
    <w:rsid w:val="003A450C"/>
    <w:rsid w:val="003B4BB3"/>
    <w:rsid w:val="003E0A38"/>
    <w:rsid w:val="003E19E2"/>
    <w:rsid w:val="004079F9"/>
    <w:rsid w:val="00411520"/>
    <w:rsid w:val="004216A7"/>
    <w:rsid w:val="00425F9C"/>
    <w:rsid w:val="00430FC3"/>
    <w:rsid w:val="00440228"/>
    <w:rsid w:val="004576FA"/>
    <w:rsid w:val="00465D90"/>
    <w:rsid w:val="004A58A0"/>
    <w:rsid w:val="004B7A41"/>
    <w:rsid w:val="004F6602"/>
    <w:rsid w:val="00506DC6"/>
    <w:rsid w:val="00511F13"/>
    <w:rsid w:val="00541BEF"/>
    <w:rsid w:val="005542FD"/>
    <w:rsid w:val="00561962"/>
    <w:rsid w:val="00562534"/>
    <w:rsid w:val="005726DA"/>
    <w:rsid w:val="00584E00"/>
    <w:rsid w:val="005B480F"/>
    <w:rsid w:val="005C1F32"/>
    <w:rsid w:val="005D789C"/>
    <w:rsid w:val="005F1C15"/>
    <w:rsid w:val="005F440B"/>
    <w:rsid w:val="00601161"/>
    <w:rsid w:val="006279DA"/>
    <w:rsid w:val="00632552"/>
    <w:rsid w:val="00653540"/>
    <w:rsid w:val="00664B0A"/>
    <w:rsid w:val="0069462E"/>
    <w:rsid w:val="006B3128"/>
    <w:rsid w:val="006B5EF4"/>
    <w:rsid w:val="006C58D7"/>
    <w:rsid w:val="006D32DE"/>
    <w:rsid w:val="0071610D"/>
    <w:rsid w:val="00721D45"/>
    <w:rsid w:val="00727781"/>
    <w:rsid w:val="00735DE7"/>
    <w:rsid w:val="0073785D"/>
    <w:rsid w:val="00740946"/>
    <w:rsid w:val="007430BC"/>
    <w:rsid w:val="007501F1"/>
    <w:rsid w:val="00751085"/>
    <w:rsid w:val="0076452F"/>
    <w:rsid w:val="00764C19"/>
    <w:rsid w:val="007A1FD6"/>
    <w:rsid w:val="007B1F0E"/>
    <w:rsid w:val="007B24B0"/>
    <w:rsid w:val="007C5FAE"/>
    <w:rsid w:val="007F4CEA"/>
    <w:rsid w:val="008008EE"/>
    <w:rsid w:val="00804B77"/>
    <w:rsid w:val="00806FDD"/>
    <w:rsid w:val="00832C95"/>
    <w:rsid w:val="00832CB8"/>
    <w:rsid w:val="0083526B"/>
    <w:rsid w:val="00835C1E"/>
    <w:rsid w:val="008521DA"/>
    <w:rsid w:val="00887D24"/>
    <w:rsid w:val="008914D1"/>
    <w:rsid w:val="00895142"/>
    <w:rsid w:val="008D0801"/>
    <w:rsid w:val="008D2F12"/>
    <w:rsid w:val="008D79EA"/>
    <w:rsid w:val="008D7EDB"/>
    <w:rsid w:val="00901698"/>
    <w:rsid w:val="00974CE4"/>
    <w:rsid w:val="009C5EF8"/>
    <w:rsid w:val="009E04C2"/>
    <w:rsid w:val="009E3E99"/>
    <w:rsid w:val="009F2BB4"/>
    <w:rsid w:val="009F5841"/>
    <w:rsid w:val="00A0402A"/>
    <w:rsid w:val="00A05622"/>
    <w:rsid w:val="00A3043E"/>
    <w:rsid w:val="00A52DD5"/>
    <w:rsid w:val="00A74CA9"/>
    <w:rsid w:val="00AA1B47"/>
    <w:rsid w:val="00AB6097"/>
    <w:rsid w:val="00AB77E1"/>
    <w:rsid w:val="00B07629"/>
    <w:rsid w:val="00B37DC6"/>
    <w:rsid w:val="00B83334"/>
    <w:rsid w:val="00B868F1"/>
    <w:rsid w:val="00BA44C6"/>
    <w:rsid w:val="00BB0C1E"/>
    <w:rsid w:val="00BB4982"/>
    <w:rsid w:val="00BF230E"/>
    <w:rsid w:val="00C0152C"/>
    <w:rsid w:val="00C458E7"/>
    <w:rsid w:val="00C52218"/>
    <w:rsid w:val="00C54247"/>
    <w:rsid w:val="00C64B0C"/>
    <w:rsid w:val="00C96DF4"/>
    <w:rsid w:val="00CA7399"/>
    <w:rsid w:val="00CC270A"/>
    <w:rsid w:val="00CF711D"/>
    <w:rsid w:val="00D16998"/>
    <w:rsid w:val="00D224AE"/>
    <w:rsid w:val="00D67F72"/>
    <w:rsid w:val="00D80DE8"/>
    <w:rsid w:val="00DF31E3"/>
    <w:rsid w:val="00E05EDA"/>
    <w:rsid w:val="00E21174"/>
    <w:rsid w:val="00E57423"/>
    <w:rsid w:val="00E6148D"/>
    <w:rsid w:val="00E6372C"/>
    <w:rsid w:val="00E65A2A"/>
    <w:rsid w:val="00E87254"/>
    <w:rsid w:val="00EA5759"/>
    <w:rsid w:val="00EB6CB8"/>
    <w:rsid w:val="00EE2E56"/>
    <w:rsid w:val="00EE7335"/>
    <w:rsid w:val="00F4565C"/>
    <w:rsid w:val="00F53235"/>
    <w:rsid w:val="00F64484"/>
    <w:rsid w:val="00F724A4"/>
    <w:rsid w:val="00F86FFE"/>
    <w:rsid w:val="00F90B99"/>
    <w:rsid w:val="00FA6074"/>
    <w:rsid w:val="00FC690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o:colormenu v:ext="edit" fillcolor="none [1305]" strokecolor="none"/>
    </o:shapedefaults>
    <o:shapelayout v:ext="edit">
      <o:idmap v:ext="edit" data="1"/>
    </o:shapelayout>
  </w:shapeDefaults>
  <w:decimalSymbol w:val=","/>
  <w:listSeparator w:val=";"/>
  <w14:docId w14:val="49B3D6BD"/>
  <w15:docId w15:val="{D5C3E8AC-8A72-43A0-966F-818979C1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7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65C"/>
  </w:style>
  <w:style w:type="paragraph" w:styleId="Pieddepage">
    <w:name w:val="footer"/>
    <w:basedOn w:val="Normal"/>
    <w:link w:val="PieddepageCar"/>
    <w:uiPriority w:val="99"/>
    <w:unhideWhenUsed/>
    <w:rsid w:val="00F4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65C"/>
  </w:style>
  <w:style w:type="paragraph" w:styleId="Textedebulles">
    <w:name w:val="Balloon Text"/>
    <w:basedOn w:val="Normal"/>
    <w:link w:val="TextedebullesCar"/>
    <w:uiPriority w:val="99"/>
    <w:semiHidden/>
    <w:unhideWhenUsed/>
    <w:rsid w:val="009E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6D6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31E3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0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56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56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05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l-sdjes86@ac-poitier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6D1C2ECB1D4561BDBC1B1CED311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C5314-572A-4A9D-B383-9B42C40C9C75}"/>
      </w:docPartPr>
      <w:docPartBody>
        <w:p w:rsidR="001D1276" w:rsidRDefault="00944612" w:rsidP="00944612">
          <w:pPr>
            <w:pStyle w:val="806D1C2ECB1D4561BDBC1B1CED3110F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4612"/>
    <w:rsid w:val="00005EFF"/>
    <w:rsid w:val="000152B7"/>
    <w:rsid w:val="00090D64"/>
    <w:rsid w:val="000B54C9"/>
    <w:rsid w:val="000C281B"/>
    <w:rsid w:val="000D0C81"/>
    <w:rsid w:val="00111B61"/>
    <w:rsid w:val="001146EB"/>
    <w:rsid w:val="001D1276"/>
    <w:rsid w:val="001E5EDE"/>
    <w:rsid w:val="0024448D"/>
    <w:rsid w:val="004066D3"/>
    <w:rsid w:val="004F518E"/>
    <w:rsid w:val="007E48D0"/>
    <w:rsid w:val="00815D7A"/>
    <w:rsid w:val="009176AA"/>
    <w:rsid w:val="00944612"/>
    <w:rsid w:val="00C15013"/>
    <w:rsid w:val="00CC1E3E"/>
    <w:rsid w:val="00E40076"/>
    <w:rsid w:val="00EA7565"/>
    <w:rsid w:val="00E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9BEB57EFC349BAAD56F7A4C3E6EF30">
    <w:name w:val="0F9BEB57EFC349BAAD56F7A4C3E6EF30"/>
    <w:rsid w:val="00944612"/>
  </w:style>
  <w:style w:type="paragraph" w:customStyle="1" w:styleId="806D1C2ECB1D4561BDBC1B1CED3110F9">
    <w:name w:val="806D1C2ECB1D4561BDBC1B1CED3110F9"/>
    <w:rsid w:val="00944612"/>
  </w:style>
  <w:style w:type="paragraph" w:customStyle="1" w:styleId="EA8AF980F19A476889C5B093EFC44D44">
    <w:name w:val="EA8AF980F19A476889C5B093EFC44D44"/>
    <w:rsid w:val="00944612"/>
  </w:style>
  <w:style w:type="paragraph" w:customStyle="1" w:styleId="AE558659D8ED4553A76B1E24BB776FDB">
    <w:name w:val="AE558659D8ED4553A76B1E24BB776FDB"/>
    <w:rsid w:val="00944612"/>
  </w:style>
  <w:style w:type="paragraph" w:customStyle="1" w:styleId="82DE45604E0F4EE683BB9136C2276A09">
    <w:name w:val="82DE45604E0F4EE683BB9136C2276A09"/>
    <w:rsid w:val="00944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29C7E3-81DA-43BD-AFFB-43A7D64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PROCEDURES</vt:lpstr>
    </vt:vector>
  </TitlesOfParts>
  <Company>Ministères Chargés des Affaires Sociales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</dc:title>
  <dc:creator>MERCIRIS, Jean-Philippe (DJEPVA/DJEPVA A/DJEPVA A3)</dc:creator>
  <cp:lastModifiedBy>dminereau</cp:lastModifiedBy>
  <cp:revision>24</cp:revision>
  <cp:lastPrinted>2020-03-25T17:08:00Z</cp:lastPrinted>
  <dcterms:created xsi:type="dcterms:W3CDTF">2020-12-29T13:28:00Z</dcterms:created>
  <dcterms:modified xsi:type="dcterms:W3CDTF">2024-02-01T12:04:00Z</dcterms:modified>
</cp:coreProperties>
</file>